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56835" w14:textId="77777777" w:rsidR="00E47242" w:rsidRDefault="00E47242" w:rsidP="00E47242">
      <w:pPr>
        <w:rPr>
          <w:b/>
          <w:color w:val="C00000"/>
        </w:rPr>
      </w:pPr>
      <w:bookmarkStart w:id="0" w:name="_Hlk131756209"/>
    </w:p>
    <w:p w14:paraId="339B6C22" w14:textId="1CF63CFA" w:rsidR="00101F6F" w:rsidRPr="00FC4FFC" w:rsidRDefault="003F7528" w:rsidP="00186993">
      <w:pPr>
        <w:jc w:val="center"/>
        <w:rPr>
          <w:b/>
          <w:color w:val="C00000"/>
          <w:sz w:val="24"/>
          <w:szCs w:val="24"/>
        </w:rPr>
      </w:pPr>
      <w:r w:rsidRPr="00FC4FFC">
        <w:rPr>
          <w:b/>
          <w:color w:val="C00000"/>
          <w:sz w:val="24"/>
          <w:szCs w:val="24"/>
        </w:rPr>
        <w:t xml:space="preserve">KAP </w:t>
      </w:r>
      <w:r w:rsidR="0016627B">
        <w:rPr>
          <w:b/>
          <w:color w:val="C00000"/>
          <w:sz w:val="24"/>
          <w:szCs w:val="24"/>
        </w:rPr>
        <w:t>SİSTEMİ</w:t>
      </w:r>
      <w:r w:rsidR="00E47242" w:rsidRPr="00FC4FFC">
        <w:rPr>
          <w:b/>
          <w:color w:val="C00000"/>
          <w:sz w:val="24"/>
          <w:szCs w:val="24"/>
        </w:rPr>
        <w:t xml:space="preserve">NDE </w:t>
      </w:r>
      <w:r w:rsidR="00CF2E03">
        <w:rPr>
          <w:b/>
          <w:color w:val="C00000"/>
          <w:sz w:val="24"/>
          <w:szCs w:val="24"/>
        </w:rPr>
        <w:t xml:space="preserve">ŞABLON GÜNCELLEMELERİ </w:t>
      </w:r>
    </w:p>
    <w:p w14:paraId="6C9014A3" w14:textId="77777777" w:rsidR="00101F6F" w:rsidRDefault="00101F6F"/>
    <w:tbl>
      <w:tblPr>
        <w:tblStyle w:val="TabloKlavuzu"/>
        <w:tblW w:w="11562" w:type="dxa"/>
        <w:tblInd w:w="-5" w:type="dxa"/>
        <w:tblLook w:val="04A0" w:firstRow="1" w:lastRow="0" w:firstColumn="1" w:lastColumn="0" w:noHBand="0" w:noVBand="1"/>
      </w:tblPr>
      <w:tblGrid>
        <w:gridCol w:w="511"/>
        <w:gridCol w:w="2484"/>
        <w:gridCol w:w="1579"/>
        <w:gridCol w:w="2582"/>
        <w:gridCol w:w="4406"/>
      </w:tblGrid>
      <w:tr w:rsidR="00F1308D" w:rsidRPr="003F7528" w14:paraId="186C4F5E" w14:textId="77777777" w:rsidTr="00F1308D">
        <w:tc>
          <w:tcPr>
            <w:tcW w:w="511" w:type="dxa"/>
            <w:shd w:val="clear" w:color="auto" w:fill="D9D9D9" w:themeFill="background1" w:themeFillShade="D9"/>
          </w:tcPr>
          <w:p w14:paraId="6E74AB92" w14:textId="77777777" w:rsidR="00F1308D" w:rsidRPr="003F7528" w:rsidRDefault="00F1308D" w:rsidP="00F1308D">
            <w:pPr>
              <w:pStyle w:val="ListeParagraf"/>
              <w:spacing w:before="120" w:after="120"/>
              <w:ind w:left="0"/>
              <w:jc w:val="both"/>
              <w:rPr>
                <w:b/>
                <w:sz w:val="20"/>
                <w:szCs w:val="20"/>
                <w:lang w:val="tr-TR"/>
              </w:rPr>
            </w:pPr>
            <w:r w:rsidRPr="003F7528">
              <w:rPr>
                <w:b/>
                <w:sz w:val="20"/>
                <w:szCs w:val="20"/>
                <w:lang w:val="tr-TR"/>
              </w:rPr>
              <w:t>No</w:t>
            </w:r>
          </w:p>
        </w:tc>
        <w:tc>
          <w:tcPr>
            <w:tcW w:w="2484" w:type="dxa"/>
            <w:shd w:val="clear" w:color="auto" w:fill="D9D9D9" w:themeFill="background1" w:themeFillShade="D9"/>
          </w:tcPr>
          <w:p w14:paraId="0CE6F1B5" w14:textId="77777777" w:rsidR="00F1308D" w:rsidRPr="003F7528" w:rsidRDefault="00F1308D" w:rsidP="00F1308D">
            <w:pPr>
              <w:pStyle w:val="ListeParagraf"/>
              <w:spacing w:before="120" w:after="120"/>
              <w:ind w:left="0"/>
              <w:jc w:val="both"/>
              <w:rPr>
                <w:b/>
                <w:sz w:val="20"/>
                <w:szCs w:val="20"/>
                <w:lang w:val="tr-TR"/>
              </w:rPr>
            </w:pPr>
            <w:bookmarkStart w:id="1" w:name="_GoBack"/>
            <w:bookmarkEnd w:id="1"/>
            <w:r w:rsidRPr="003F7528">
              <w:rPr>
                <w:b/>
                <w:sz w:val="20"/>
                <w:szCs w:val="20"/>
                <w:lang w:val="tr-TR"/>
              </w:rPr>
              <w:t xml:space="preserve">Şablon Adı </w:t>
            </w:r>
          </w:p>
        </w:tc>
        <w:tc>
          <w:tcPr>
            <w:tcW w:w="1579" w:type="dxa"/>
            <w:shd w:val="clear" w:color="auto" w:fill="D9D9D9" w:themeFill="background1" w:themeFillShade="D9"/>
          </w:tcPr>
          <w:p w14:paraId="12D3755D" w14:textId="34CF412D" w:rsidR="00F1308D" w:rsidRPr="003F7528" w:rsidRDefault="00F1308D" w:rsidP="00F1308D">
            <w:pPr>
              <w:pStyle w:val="ListeParagraf"/>
              <w:spacing w:before="120" w:after="120"/>
              <w:ind w:left="0"/>
              <w:jc w:val="both"/>
              <w:rPr>
                <w:b/>
                <w:sz w:val="20"/>
                <w:szCs w:val="20"/>
                <w:lang w:val="tr-TR"/>
              </w:rPr>
            </w:pPr>
            <w:proofErr w:type="spellStart"/>
            <w:r w:rsidRPr="003F7528">
              <w:rPr>
                <w:b/>
                <w:sz w:val="20"/>
                <w:szCs w:val="20"/>
                <w:lang w:val="tr-TR"/>
              </w:rPr>
              <w:t>BIY’de</w:t>
            </w:r>
            <w:proofErr w:type="spellEnd"/>
            <w:r w:rsidRPr="003F7528">
              <w:rPr>
                <w:b/>
                <w:sz w:val="20"/>
                <w:szCs w:val="20"/>
                <w:lang w:val="tr-TR"/>
              </w:rPr>
              <w:t xml:space="preserve"> Yer Aldığı Üst Menünün Adı</w:t>
            </w:r>
          </w:p>
        </w:tc>
        <w:tc>
          <w:tcPr>
            <w:tcW w:w="2582" w:type="dxa"/>
            <w:shd w:val="clear" w:color="auto" w:fill="D9D9D9" w:themeFill="background1" w:themeFillShade="D9"/>
          </w:tcPr>
          <w:p w14:paraId="39210D2E" w14:textId="3EC81190" w:rsidR="00F1308D" w:rsidRPr="003F7528" w:rsidRDefault="00F1308D" w:rsidP="00F1308D">
            <w:pPr>
              <w:pStyle w:val="ListeParagraf"/>
              <w:spacing w:before="120" w:after="120"/>
              <w:ind w:left="0"/>
              <w:jc w:val="both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Kullanacak KAP Üyesi</w:t>
            </w:r>
          </w:p>
        </w:tc>
        <w:tc>
          <w:tcPr>
            <w:tcW w:w="4406" w:type="dxa"/>
            <w:shd w:val="clear" w:color="auto" w:fill="D9D9D9" w:themeFill="background1" w:themeFillShade="D9"/>
          </w:tcPr>
          <w:p w14:paraId="554A24A2" w14:textId="3D4C3317" w:rsidR="00F1308D" w:rsidRPr="003F7528" w:rsidRDefault="00F1308D" w:rsidP="00F1308D">
            <w:pPr>
              <w:pStyle w:val="ListeParagraf"/>
              <w:spacing w:before="120" w:after="120"/>
              <w:ind w:left="0"/>
              <w:jc w:val="both"/>
              <w:rPr>
                <w:b/>
                <w:sz w:val="20"/>
                <w:szCs w:val="20"/>
                <w:lang w:val="tr-TR"/>
              </w:rPr>
            </w:pPr>
            <w:r w:rsidRPr="003F7528">
              <w:rPr>
                <w:b/>
                <w:sz w:val="20"/>
                <w:szCs w:val="20"/>
                <w:lang w:val="tr-TR"/>
              </w:rPr>
              <w:t>Açıklama</w:t>
            </w:r>
          </w:p>
        </w:tc>
      </w:tr>
      <w:tr w:rsidR="00F1308D" w:rsidRPr="002D3DF9" w14:paraId="0E043485" w14:textId="77777777" w:rsidTr="00F1308D">
        <w:tc>
          <w:tcPr>
            <w:tcW w:w="511" w:type="dxa"/>
            <w:shd w:val="clear" w:color="auto" w:fill="auto"/>
          </w:tcPr>
          <w:p w14:paraId="0E2D8DF0" w14:textId="77777777" w:rsidR="00F1308D" w:rsidRPr="002D3DF9" w:rsidRDefault="00F1308D" w:rsidP="00F1308D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 w:rsidRPr="002D3DF9">
              <w:rPr>
                <w:sz w:val="20"/>
                <w:szCs w:val="20"/>
                <w:lang w:val="tr-TR"/>
              </w:rPr>
              <w:t>1</w:t>
            </w:r>
          </w:p>
        </w:tc>
        <w:tc>
          <w:tcPr>
            <w:tcW w:w="2484" w:type="dxa"/>
            <w:shd w:val="clear" w:color="auto" w:fill="auto"/>
          </w:tcPr>
          <w:p w14:paraId="2977133E" w14:textId="1CC95CF7" w:rsidR="00F1308D" w:rsidRPr="002D3DF9" w:rsidRDefault="00F1308D" w:rsidP="00F1308D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 w:rsidRPr="00F1308D">
              <w:rPr>
                <w:sz w:val="20"/>
                <w:szCs w:val="20"/>
                <w:lang w:val="tr-TR"/>
              </w:rPr>
              <w:t>Risk Ölçüm ve Değerleme Esasları</w:t>
            </w:r>
          </w:p>
        </w:tc>
        <w:tc>
          <w:tcPr>
            <w:tcW w:w="1579" w:type="dxa"/>
            <w:shd w:val="clear" w:color="auto" w:fill="auto"/>
          </w:tcPr>
          <w:p w14:paraId="582A0990" w14:textId="75DD0B79" w:rsidR="00F1308D" w:rsidRPr="002D3DF9" w:rsidRDefault="00F1308D" w:rsidP="00F1308D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Fon </w:t>
            </w:r>
            <w:proofErr w:type="gramStart"/>
            <w:r>
              <w:rPr>
                <w:sz w:val="20"/>
                <w:szCs w:val="20"/>
                <w:lang w:val="tr-TR"/>
              </w:rPr>
              <w:t>Bildirimi  Gönderimi</w:t>
            </w:r>
            <w:proofErr w:type="gramEnd"/>
          </w:p>
        </w:tc>
        <w:tc>
          <w:tcPr>
            <w:tcW w:w="2582" w:type="dxa"/>
          </w:tcPr>
          <w:p w14:paraId="50E9521B" w14:textId="1C5687F9" w:rsidR="00F1308D" w:rsidRDefault="00F1308D" w:rsidP="00F1308D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Yatırım Fonları, </w:t>
            </w:r>
            <w:proofErr w:type="spellStart"/>
            <w:r>
              <w:rPr>
                <w:sz w:val="20"/>
                <w:szCs w:val="20"/>
                <w:lang w:val="tr-TR"/>
              </w:rPr>
              <w:t>BYF’ler</w:t>
            </w:r>
            <w:proofErr w:type="spellEnd"/>
          </w:p>
        </w:tc>
        <w:tc>
          <w:tcPr>
            <w:tcW w:w="4406" w:type="dxa"/>
            <w:shd w:val="clear" w:color="auto" w:fill="auto"/>
          </w:tcPr>
          <w:p w14:paraId="5FBDC38F" w14:textId="47E317F1" w:rsidR="00F1308D" w:rsidRPr="002D3DF9" w:rsidRDefault="00F1308D" w:rsidP="00F1308D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SPK’nın 27.01.2023 tarih ve 32457 sayılı yazısı kapsamında Kararı kapsamında eklenmiştir. </w:t>
            </w:r>
            <w:proofErr w:type="spellStart"/>
            <w:r>
              <w:rPr>
                <w:sz w:val="20"/>
                <w:szCs w:val="20"/>
                <w:lang w:val="tr-TR"/>
              </w:rPr>
              <w:t>İzahname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formatının 3.2. maddesi kapsamındaki açıklamalar bu şablon ile yapılmalıdır.  Ayrıca Fon Sürekli Bilgi Formu sayfasında “Özet Bilgiler” alanına da “Risk Ölçüm-Değerleme Esasları” sekmesi eklenmiş olup tıklandığında ilgili şablondan gönderilmiş açıklamalar listelenecektir. </w:t>
            </w:r>
          </w:p>
        </w:tc>
      </w:tr>
      <w:tr w:rsidR="00F1308D" w:rsidRPr="002D3DF9" w14:paraId="47B1D6C4" w14:textId="77777777" w:rsidTr="00F1308D">
        <w:tc>
          <w:tcPr>
            <w:tcW w:w="511" w:type="dxa"/>
            <w:shd w:val="clear" w:color="auto" w:fill="auto"/>
          </w:tcPr>
          <w:p w14:paraId="525F978D" w14:textId="77777777" w:rsidR="00F1308D" w:rsidRPr="002D3DF9" w:rsidRDefault="00F1308D" w:rsidP="00F1308D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</w:t>
            </w:r>
          </w:p>
        </w:tc>
        <w:tc>
          <w:tcPr>
            <w:tcW w:w="2484" w:type="dxa"/>
            <w:shd w:val="clear" w:color="auto" w:fill="auto"/>
          </w:tcPr>
          <w:p w14:paraId="69408058" w14:textId="4DC5DFC7" w:rsidR="00F1308D" w:rsidRDefault="00F1308D" w:rsidP="00F1308D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 w:rsidRPr="00F1308D">
              <w:rPr>
                <w:sz w:val="20"/>
                <w:szCs w:val="20"/>
                <w:lang w:val="tr-TR"/>
              </w:rPr>
              <w:t>Risk Ölçüm Esasları</w:t>
            </w:r>
          </w:p>
        </w:tc>
        <w:tc>
          <w:tcPr>
            <w:tcW w:w="1579" w:type="dxa"/>
            <w:shd w:val="clear" w:color="auto" w:fill="auto"/>
          </w:tcPr>
          <w:p w14:paraId="6A88B09E" w14:textId="6AC1C9BD" w:rsidR="00F1308D" w:rsidRDefault="00F1308D" w:rsidP="00F1308D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Fon </w:t>
            </w:r>
            <w:proofErr w:type="gramStart"/>
            <w:r>
              <w:rPr>
                <w:sz w:val="20"/>
                <w:szCs w:val="20"/>
                <w:lang w:val="tr-TR"/>
              </w:rPr>
              <w:t>Bildirimi  Gönderimi</w:t>
            </w:r>
            <w:proofErr w:type="gramEnd"/>
          </w:p>
        </w:tc>
        <w:tc>
          <w:tcPr>
            <w:tcW w:w="2582" w:type="dxa"/>
          </w:tcPr>
          <w:p w14:paraId="582E3016" w14:textId="77777777" w:rsidR="00F1308D" w:rsidRDefault="00F1308D" w:rsidP="00F1308D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Gayrimenkul Yatırım Fonları</w:t>
            </w:r>
          </w:p>
          <w:p w14:paraId="69640094" w14:textId="06C68EEF" w:rsidR="00F1308D" w:rsidRPr="002D3DF9" w:rsidRDefault="00F1308D" w:rsidP="00F1308D">
            <w:pPr>
              <w:pStyle w:val="ListeParagraf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Girişim Sermayesi Fonları</w:t>
            </w:r>
          </w:p>
        </w:tc>
        <w:tc>
          <w:tcPr>
            <w:tcW w:w="4406" w:type="dxa"/>
            <w:shd w:val="clear" w:color="auto" w:fill="auto"/>
          </w:tcPr>
          <w:p w14:paraId="18EC98E2" w14:textId="0CB23183" w:rsidR="00F1308D" w:rsidRPr="002D3DF9" w:rsidRDefault="00F1308D" w:rsidP="00F1308D">
            <w:pPr>
              <w:pStyle w:val="ListeParagraf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SPK’nın 27.01.2023 tarih ve 32457 sayılı yazısı kapsamında Kararı kapsamında eklenmiştir. Ayrıca Fon Sürekli Bilgi Formu sayfasında “Özet Bilgiler” alanına da “Risk Ölçüm-Değerleme Esasları” sekmesi eklenmiş olup tıklandığında ilgili şablondan gönderilmiş açıklamalar listelenecektir.</w:t>
            </w:r>
          </w:p>
        </w:tc>
      </w:tr>
      <w:tr w:rsidR="00F1308D" w:rsidRPr="002D3DF9" w14:paraId="1FC7AEE8" w14:textId="77777777" w:rsidTr="00F1308D">
        <w:tc>
          <w:tcPr>
            <w:tcW w:w="511" w:type="dxa"/>
            <w:shd w:val="clear" w:color="auto" w:fill="auto"/>
          </w:tcPr>
          <w:p w14:paraId="0C88EDAE" w14:textId="77777777" w:rsidR="00F1308D" w:rsidRPr="002D3DF9" w:rsidRDefault="00F1308D" w:rsidP="00F1308D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2484" w:type="dxa"/>
            <w:shd w:val="clear" w:color="auto" w:fill="auto"/>
          </w:tcPr>
          <w:p w14:paraId="7B94EF2D" w14:textId="516F9E5A" w:rsidR="00F1308D" w:rsidRPr="003F7528" w:rsidRDefault="00D92CD8" w:rsidP="00F1308D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Fon Sürekli Bilgi Formu</w:t>
            </w:r>
          </w:p>
        </w:tc>
        <w:tc>
          <w:tcPr>
            <w:tcW w:w="1579" w:type="dxa"/>
            <w:shd w:val="clear" w:color="auto" w:fill="auto"/>
          </w:tcPr>
          <w:p w14:paraId="1BA87D79" w14:textId="421AB976" w:rsidR="00F1308D" w:rsidRDefault="00D92CD8" w:rsidP="00F1308D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-</w:t>
            </w:r>
          </w:p>
        </w:tc>
        <w:tc>
          <w:tcPr>
            <w:tcW w:w="2582" w:type="dxa"/>
          </w:tcPr>
          <w:p w14:paraId="4DB019F6" w14:textId="77777777" w:rsidR="00D92CD8" w:rsidRDefault="00D92CD8" w:rsidP="00D92CD8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Gayrimenkul Yatırım Fonları</w:t>
            </w:r>
          </w:p>
          <w:p w14:paraId="3F5A00BD" w14:textId="77777777" w:rsidR="00F1308D" w:rsidRPr="0084611A" w:rsidRDefault="00F1308D" w:rsidP="00F1308D">
            <w:pPr>
              <w:pStyle w:val="ListeParagraf"/>
              <w:spacing w:before="120" w:after="120"/>
              <w:ind w:left="0"/>
              <w:jc w:val="both"/>
              <w:rPr>
                <w:b/>
                <w:sz w:val="20"/>
                <w:szCs w:val="20"/>
                <w:u w:val="single"/>
                <w:lang w:val="tr-TR"/>
              </w:rPr>
            </w:pPr>
          </w:p>
        </w:tc>
        <w:tc>
          <w:tcPr>
            <w:tcW w:w="4406" w:type="dxa"/>
            <w:shd w:val="clear" w:color="auto" w:fill="auto"/>
          </w:tcPr>
          <w:p w14:paraId="77DA6B17" w14:textId="051C1500" w:rsidR="00D92CD8" w:rsidRPr="00D92CD8" w:rsidRDefault="00D92CD8" w:rsidP="00D92CD8">
            <w:pPr>
              <w:jc w:val="both"/>
              <w:rPr>
                <w:sz w:val="20"/>
                <w:szCs w:val="20"/>
                <w:lang w:val="tr-TR"/>
              </w:rPr>
            </w:pPr>
            <w:r w:rsidRPr="00D92CD8">
              <w:rPr>
                <w:sz w:val="20"/>
                <w:szCs w:val="20"/>
                <w:lang w:val="tr-TR"/>
              </w:rPr>
              <w:t xml:space="preserve">Fon sürekli bilgi formuna “Gayrimenkul Değerleme Kuruluşları” ve “Danışmanlık Hizmeti Alınan Kuruluşlar” alanları eklenmiştir. </w:t>
            </w:r>
          </w:p>
          <w:p w14:paraId="6822F2C0" w14:textId="114B4965" w:rsidR="00F1308D" w:rsidRPr="0084611A" w:rsidRDefault="00F1308D" w:rsidP="00F1308D">
            <w:pPr>
              <w:pStyle w:val="ListeParagraf"/>
              <w:spacing w:before="120" w:after="120"/>
              <w:ind w:left="0"/>
              <w:jc w:val="both"/>
              <w:rPr>
                <w:b/>
                <w:sz w:val="20"/>
                <w:szCs w:val="20"/>
                <w:u w:val="single"/>
                <w:lang w:val="tr-TR"/>
              </w:rPr>
            </w:pPr>
          </w:p>
        </w:tc>
      </w:tr>
      <w:tr w:rsidR="00F1308D" w:rsidRPr="003F7528" w14:paraId="23EAF4EA" w14:textId="77777777" w:rsidTr="00F1308D">
        <w:trPr>
          <w:trHeight w:val="57"/>
        </w:trPr>
        <w:tc>
          <w:tcPr>
            <w:tcW w:w="511" w:type="dxa"/>
            <w:shd w:val="clear" w:color="auto" w:fill="FFFFFF" w:themeFill="background1"/>
          </w:tcPr>
          <w:p w14:paraId="4A8DB71F" w14:textId="77777777" w:rsidR="00F1308D" w:rsidRPr="003F7528" w:rsidRDefault="00F1308D" w:rsidP="00F1308D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4</w:t>
            </w:r>
          </w:p>
        </w:tc>
        <w:tc>
          <w:tcPr>
            <w:tcW w:w="2484" w:type="dxa"/>
            <w:shd w:val="clear" w:color="auto" w:fill="FFFFFF" w:themeFill="background1"/>
          </w:tcPr>
          <w:p w14:paraId="39B70CFC" w14:textId="5FD6517E" w:rsidR="00F1308D" w:rsidRPr="003F7528" w:rsidRDefault="00CF2E03" w:rsidP="00F1308D">
            <w:pPr>
              <w:pStyle w:val="ListeParagraf"/>
              <w:spacing w:before="120" w:after="120"/>
              <w:ind w:left="0"/>
              <w:jc w:val="both"/>
              <w:rPr>
                <w:b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Fon Sürekli Bilgi Formu</w:t>
            </w:r>
          </w:p>
        </w:tc>
        <w:tc>
          <w:tcPr>
            <w:tcW w:w="1579" w:type="dxa"/>
            <w:shd w:val="clear" w:color="auto" w:fill="FFFFFF" w:themeFill="background1"/>
          </w:tcPr>
          <w:p w14:paraId="3E79E887" w14:textId="56F6CD78" w:rsidR="00F1308D" w:rsidRPr="003F7528" w:rsidRDefault="00CF2E03" w:rsidP="00F1308D">
            <w:pPr>
              <w:pStyle w:val="ListeParagraf"/>
              <w:spacing w:before="120" w:after="120"/>
              <w:ind w:left="0"/>
              <w:jc w:val="both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-</w:t>
            </w:r>
          </w:p>
        </w:tc>
        <w:tc>
          <w:tcPr>
            <w:tcW w:w="2582" w:type="dxa"/>
            <w:shd w:val="clear" w:color="auto" w:fill="FFFFFF" w:themeFill="background1"/>
          </w:tcPr>
          <w:p w14:paraId="42785C81" w14:textId="32DB5FC2" w:rsidR="00F1308D" w:rsidRPr="00B27BE1" w:rsidRDefault="00CF2E03" w:rsidP="00F1308D">
            <w:pPr>
              <w:pStyle w:val="ListeParagraf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Girişim Sermayesi Fonları</w:t>
            </w:r>
          </w:p>
        </w:tc>
        <w:tc>
          <w:tcPr>
            <w:tcW w:w="4406" w:type="dxa"/>
            <w:shd w:val="clear" w:color="auto" w:fill="FFFFFF" w:themeFill="background1"/>
          </w:tcPr>
          <w:p w14:paraId="0A30F3E3" w14:textId="1308F38E" w:rsidR="00CF2E03" w:rsidRPr="00D92CD8" w:rsidRDefault="00CF2E03" w:rsidP="00CF2E03">
            <w:pPr>
              <w:jc w:val="both"/>
              <w:rPr>
                <w:sz w:val="20"/>
                <w:szCs w:val="20"/>
                <w:lang w:val="tr-TR"/>
              </w:rPr>
            </w:pPr>
            <w:r w:rsidRPr="00D92CD8">
              <w:rPr>
                <w:sz w:val="20"/>
                <w:szCs w:val="20"/>
                <w:lang w:val="tr-TR"/>
              </w:rPr>
              <w:t xml:space="preserve">Fon sürekli bilgi formuna “Değerleme Kuruluşları” ve “Danışmanlık Hizmeti Alınan Kuruluşlar” alanları eklenmiştir. </w:t>
            </w:r>
          </w:p>
          <w:p w14:paraId="04B16136" w14:textId="38110232" w:rsidR="00F1308D" w:rsidRPr="00B27BE1" w:rsidRDefault="00F1308D" w:rsidP="00F1308D">
            <w:pPr>
              <w:pStyle w:val="ListeParagraf"/>
              <w:ind w:left="0"/>
              <w:jc w:val="both"/>
              <w:rPr>
                <w:sz w:val="20"/>
                <w:szCs w:val="20"/>
                <w:lang w:val="tr-TR"/>
              </w:rPr>
            </w:pPr>
          </w:p>
        </w:tc>
      </w:tr>
      <w:tr w:rsidR="00F1308D" w:rsidRPr="003F7528" w14:paraId="69F12B2C" w14:textId="77777777" w:rsidTr="00F1308D">
        <w:trPr>
          <w:trHeight w:val="57"/>
        </w:trPr>
        <w:tc>
          <w:tcPr>
            <w:tcW w:w="511" w:type="dxa"/>
            <w:shd w:val="clear" w:color="auto" w:fill="FFFFFF" w:themeFill="background1"/>
          </w:tcPr>
          <w:p w14:paraId="07C27380" w14:textId="77777777" w:rsidR="00F1308D" w:rsidRDefault="00F1308D" w:rsidP="00F1308D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  <w:tc>
          <w:tcPr>
            <w:tcW w:w="2484" w:type="dxa"/>
            <w:shd w:val="clear" w:color="auto" w:fill="FFFFFF" w:themeFill="background1"/>
          </w:tcPr>
          <w:p w14:paraId="49D5BBB5" w14:textId="0F5F52C3" w:rsidR="00F1308D" w:rsidRPr="00CF2E03" w:rsidRDefault="00CF2E03" w:rsidP="00F1308D">
            <w:pPr>
              <w:pStyle w:val="ListeParagraf"/>
              <w:spacing w:before="120" w:after="120"/>
              <w:ind w:left="0"/>
              <w:jc w:val="both"/>
              <w:rPr>
                <w:bCs/>
                <w:sz w:val="20"/>
                <w:szCs w:val="20"/>
                <w:lang w:val="tr-TR"/>
              </w:rPr>
            </w:pPr>
            <w:r w:rsidRPr="00CF2E03">
              <w:rPr>
                <w:bCs/>
                <w:sz w:val="20"/>
                <w:szCs w:val="20"/>
                <w:lang w:val="tr-TR"/>
              </w:rPr>
              <w:t>Şirket Genel Bilgi Formu</w:t>
            </w:r>
          </w:p>
        </w:tc>
        <w:tc>
          <w:tcPr>
            <w:tcW w:w="1579" w:type="dxa"/>
            <w:shd w:val="clear" w:color="auto" w:fill="FFFFFF" w:themeFill="background1"/>
          </w:tcPr>
          <w:p w14:paraId="278EF02A" w14:textId="55354B23" w:rsidR="00F1308D" w:rsidRDefault="00CF2E03" w:rsidP="00F1308D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-</w:t>
            </w:r>
          </w:p>
        </w:tc>
        <w:tc>
          <w:tcPr>
            <w:tcW w:w="2582" w:type="dxa"/>
            <w:shd w:val="clear" w:color="auto" w:fill="FFFFFF" w:themeFill="background1"/>
          </w:tcPr>
          <w:p w14:paraId="6C32C768" w14:textId="18AA5A66" w:rsidR="00F1308D" w:rsidRDefault="00CF2E03" w:rsidP="00F1308D">
            <w:pPr>
              <w:pStyle w:val="ListeParagraf"/>
              <w:ind w:left="0"/>
              <w:jc w:val="both"/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Portöy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Yönetim Şirketleri</w:t>
            </w:r>
          </w:p>
        </w:tc>
        <w:tc>
          <w:tcPr>
            <w:tcW w:w="4406" w:type="dxa"/>
            <w:shd w:val="clear" w:color="auto" w:fill="FFFFFF" w:themeFill="background1"/>
          </w:tcPr>
          <w:p w14:paraId="31A033D4" w14:textId="6D429C84" w:rsidR="00F1308D" w:rsidRDefault="00CF2E03" w:rsidP="00F1308D">
            <w:pPr>
              <w:pStyle w:val="ListeParagraf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Şirket genel bilgi formuna “</w:t>
            </w:r>
            <w:r w:rsidRPr="00CF2E03">
              <w:rPr>
                <w:sz w:val="20"/>
                <w:szCs w:val="20"/>
                <w:lang w:val="tr-TR"/>
              </w:rPr>
              <w:t>Merkez Dışı Örgütlere İlişkin Bilgiler” ve “Şirket Bünyesinde Oluşturulan Birimler/Dışarıdan Alınan Hizmetler” alanları eklenmiştir.</w:t>
            </w:r>
            <w:r>
              <w:t xml:space="preserve"> </w:t>
            </w:r>
          </w:p>
        </w:tc>
      </w:tr>
      <w:bookmarkEnd w:id="0"/>
    </w:tbl>
    <w:p w14:paraId="64122B0C" w14:textId="75B62622" w:rsidR="00906973" w:rsidRDefault="00906973" w:rsidP="00CF2E03">
      <w:pPr>
        <w:jc w:val="both"/>
      </w:pPr>
    </w:p>
    <w:sectPr w:rsidR="00906973" w:rsidSect="00015B7D">
      <w:footerReference w:type="default" r:id="rId9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00C9B" w14:textId="77777777" w:rsidR="00B97B26" w:rsidRDefault="00B97B26" w:rsidP="00101F6F">
      <w:r>
        <w:separator/>
      </w:r>
    </w:p>
  </w:endnote>
  <w:endnote w:type="continuationSeparator" w:id="0">
    <w:p w14:paraId="71EA155B" w14:textId="77777777" w:rsidR="00B97B26" w:rsidRDefault="00B97B26" w:rsidP="0010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6104621"/>
      <w:docPartObj>
        <w:docPartGallery w:val="Page Numbers (Bottom of Page)"/>
        <w:docPartUnique/>
      </w:docPartObj>
    </w:sdtPr>
    <w:sdtEndPr/>
    <w:sdtContent>
      <w:p w14:paraId="1DC0622D" w14:textId="62C56FB2" w:rsidR="00101F6F" w:rsidRDefault="00101F6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D09" w:rsidRPr="00374D09">
          <w:rPr>
            <w:noProof/>
            <w:lang w:val="tr-TR"/>
          </w:rPr>
          <w:t>1</w:t>
        </w:r>
        <w:r>
          <w:fldChar w:fldCharType="end"/>
        </w:r>
      </w:p>
    </w:sdtContent>
  </w:sdt>
  <w:p w14:paraId="78830A66" w14:textId="77777777" w:rsidR="00101F6F" w:rsidRDefault="00101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FA6C5" w14:textId="77777777" w:rsidR="00B97B26" w:rsidRDefault="00B97B26" w:rsidP="00101F6F">
      <w:r>
        <w:separator/>
      </w:r>
    </w:p>
  </w:footnote>
  <w:footnote w:type="continuationSeparator" w:id="0">
    <w:p w14:paraId="3981A2F8" w14:textId="77777777" w:rsidR="00B97B26" w:rsidRDefault="00B97B26" w:rsidP="00101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3200"/>
    <w:multiLevelType w:val="hybridMultilevel"/>
    <w:tmpl w:val="A894C8E2"/>
    <w:lvl w:ilvl="0" w:tplc="34F883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D4AC0"/>
    <w:multiLevelType w:val="hybridMultilevel"/>
    <w:tmpl w:val="8E749084"/>
    <w:lvl w:ilvl="0" w:tplc="273ED56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3704"/>
    <w:multiLevelType w:val="hybridMultilevel"/>
    <w:tmpl w:val="C7B29ECE"/>
    <w:lvl w:ilvl="0" w:tplc="EA80C0E2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565D50"/>
    <w:multiLevelType w:val="hybridMultilevel"/>
    <w:tmpl w:val="AD24B73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1088D"/>
    <w:multiLevelType w:val="hybridMultilevel"/>
    <w:tmpl w:val="8C40EB36"/>
    <w:lvl w:ilvl="0" w:tplc="0A1064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81FC9"/>
    <w:multiLevelType w:val="hybridMultilevel"/>
    <w:tmpl w:val="8A2E67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8721F"/>
    <w:multiLevelType w:val="hybridMultilevel"/>
    <w:tmpl w:val="ABF0B322"/>
    <w:lvl w:ilvl="0" w:tplc="38A8E7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53788"/>
    <w:multiLevelType w:val="hybridMultilevel"/>
    <w:tmpl w:val="5C5EEC4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36B91"/>
    <w:multiLevelType w:val="hybridMultilevel"/>
    <w:tmpl w:val="0B006488"/>
    <w:lvl w:ilvl="0" w:tplc="273ED56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5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03"/>
    <w:rsid w:val="00015B7D"/>
    <w:rsid w:val="000323AE"/>
    <w:rsid w:val="00070DE9"/>
    <w:rsid w:val="0008126C"/>
    <w:rsid w:val="000B3BF9"/>
    <w:rsid w:val="000B4718"/>
    <w:rsid w:val="000E05EC"/>
    <w:rsid w:val="00101F6F"/>
    <w:rsid w:val="00124701"/>
    <w:rsid w:val="00144C25"/>
    <w:rsid w:val="0016627B"/>
    <w:rsid w:val="00186993"/>
    <w:rsid w:val="002008E8"/>
    <w:rsid w:val="00212A5F"/>
    <w:rsid w:val="00247AF1"/>
    <w:rsid w:val="00252974"/>
    <w:rsid w:val="00267587"/>
    <w:rsid w:val="002D3DF9"/>
    <w:rsid w:val="002E6ED7"/>
    <w:rsid w:val="0035428C"/>
    <w:rsid w:val="00374D09"/>
    <w:rsid w:val="003F7528"/>
    <w:rsid w:val="00463994"/>
    <w:rsid w:val="00497103"/>
    <w:rsid w:val="004B4E8F"/>
    <w:rsid w:val="004C0575"/>
    <w:rsid w:val="004D7C08"/>
    <w:rsid w:val="004F6098"/>
    <w:rsid w:val="005855C4"/>
    <w:rsid w:val="005B3CEA"/>
    <w:rsid w:val="005B59AC"/>
    <w:rsid w:val="005E5A9C"/>
    <w:rsid w:val="00663551"/>
    <w:rsid w:val="006B0918"/>
    <w:rsid w:val="006F71AD"/>
    <w:rsid w:val="007053E8"/>
    <w:rsid w:val="0072060A"/>
    <w:rsid w:val="00775D63"/>
    <w:rsid w:val="007912FE"/>
    <w:rsid w:val="007A11E9"/>
    <w:rsid w:val="007C3F1A"/>
    <w:rsid w:val="0084611A"/>
    <w:rsid w:val="00861D4E"/>
    <w:rsid w:val="008844F7"/>
    <w:rsid w:val="008876BB"/>
    <w:rsid w:val="008D1BB3"/>
    <w:rsid w:val="00906973"/>
    <w:rsid w:val="009271D0"/>
    <w:rsid w:val="009C4AA3"/>
    <w:rsid w:val="009D5948"/>
    <w:rsid w:val="00A20845"/>
    <w:rsid w:val="00A41D04"/>
    <w:rsid w:val="00A53093"/>
    <w:rsid w:val="00AE1E65"/>
    <w:rsid w:val="00B056E6"/>
    <w:rsid w:val="00B121FB"/>
    <w:rsid w:val="00B17226"/>
    <w:rsid w:val="00B27716"/>
    <w:rsid w:val="00B27BE1"/>
    <w:rsid w:val="00B66A0B"/>
    <w:rsid w:val="00B7193B"/>
    <w:rsid w:val="00B97B26"/>
    <w:rsid w:val="00BB7C78"/>
    <w:rsid w:val="00BF4E7E"/>
    <w:rsid w:val="00C043DF"/>
    <w:rsid w:val="00C219D6"/>
    <w:rsid w:val="00C877EF"/>
    <w:rsid w:val="00CF2E03"/>
    <w:rsid w:val="00D1525C"/>
    <w:rsid w:val="00D34D77"/>
    <w:rsid w:val="00D377B9"/>
    <w:rsid w:val="00D92CD8"/>
    <w:rsid w:val="00E0547A"/>
    <w:rsid w:val="00E30F76"/>
    <w:rsid w:val="00E47242"/>
    <w:rsid w:val="00E523DA"/>
    <w:rsid w:val="00E5321A"/>
    <w:rsid w:val="00E6453F"/>
    <w:rsid w:val="00E92677"/>
    <w:rsid w:val="00E960CC"/>
    <w:rsid w:val="00EB3D8D"/>
    <w:rsid w:val="00EE0F35"/>
    <w:rsid w:val="00F01462"/>
    <w:rsid w:val="00F01555"/>
    <w:rsid w:val="00F1308D"/>
    <w:rsid w:val="00F212E3"/>
    <w:rsid w:val="00F3439A"/>
    <w:rsid w:val="00F4008E"/>
    <w:rsid w:val="00F40180"/>
    <w:rsid w:val="00F54099"/>
    <w:rsid w:val="00F635A4"/>
    <w:rsid w:val="00FA63F9"/>
    <w:rsid w:val="00FB1C1A"/>
    <w:rsid w:val="00FC4FFC"/>
    <w:rsid w:val="00FE237E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948FD"/>
  <w15:chartTrackingRefBased/>
  <w15:docId w15:val="{60CF776A-9C05-440E-90E3-D450B022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103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710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497103"/>
    <w:pPr>
      <w:ind w:left="720"/>
    </w:pPr>
  </w:style>
  <w:style w:type="table" w:styleId="TabloKlavuzu">
    <w:name w:val="Table Grid"/>
    <w:basedOn w:val="NormalTablo"/>
    <w:uiPriority w:val="39"/>
    <w:rsid w:val="00015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01F6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01F6F"/>
    <w:rPr>
      <w:rFonts w:ascii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101F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01F6F"/>
    <w:rPr>
      <w:rFonts w:ascii="Calibri" w:hAnsi="Calibri" w:cs="Calibri"/>
    </w:rPr>
  </w:style>
  <w:style w:type="character" w:styleId="Kpr">
    <w:name w:val="Hyperlink"/>
    <w:basedOn w:val="VarsaylanParagrafYazTipi"/>
    <w:uiPriority w:val="99"/>
    <w:unhideWhenUsed/>
    <w:rsid w:val="00F635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TBClassification>
  <attrValue>Hizmete Ozel/Restricted</attrValue>
  <customPropName>Gizlilik Derecesi</customPropName>
  <timestamp>6/24/2022 8:48:16 PM</timestamp>
  <userName>System</userName>
  <computerName>DURUSU.mkk.com.tr</computerName>
  <guid>{47514795-9DEB-43DE-A399-1C21B7CE03AC}</guid>
</GTBClassific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A2741-A229-4CD0-9534-CAFE1F076FD1}">
  <ds:schemaRefs/>
</ds:datastoreItem>
</file>

<file path=customXml/itemProps2.xml><?xml version="1.0" encoding="utf-8"?>
<ds:datastoreItem xmlns:ds="http://schemas.openxmlformats.org/officeDocument/2006/customXml" ds:itemID="{D6F3D6A8-4E26-445E-9458-79B7431F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Asiye Nur Dumanlı</dc:creator>
  <cp:keywords/>
  <dc:description/>
  <cp:lastModifiedBy>Taha Altıkulaç</cp:lastModifiedBy>
  <cp:revision>2</cp:revision>
  <cp:lastPrinted>2022-08-04T08:00:00Z</cp:lastPrinted>
  <dcterms:created xsi:type="dcterms:W3CDTF">2023-04-07T11:06:00Z</dcterms:created>
  <dcterms:modified xsi:type="dcterms:W3CDTF">2023-04-07T11:06:00Z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izlilik Derecesi">
    <vt:lpwstr>Hizmete Ozel/Restricted</vt:lpwstr>
  </property>
  <property fmtid="{D5CDD505-2E9C-101B-9397-08002B2CF9AE}" pid="3" name="ClassifiedBy">
    <vt:lpwstr>System</vt:lpwstr>
  </property>
  <property fmtid="{D5CDD505-2E9C-101B-9397-08002B2CF9AE}" pid="4" name="ClassificationHost">
    <vt:lpwstr>DURUSU.mkk.com.tr</vt:lpwstr>
  </property>
  <property fmtid="{D5CDD505-2E9C-101B-9397-08002B2CF9AE}" pid="5" name="ClassificationDate">
    <vt:lpwstr>6/24/2022 8:48:16 PM</vt:lpwstr>
  </property>
  <property fmtid="{D5CDD505-2E9C-101B-9397-08002B2CF9AE}" pid="6" name="ClassificationGUID">
    <vt:lpwstr>{47514795-9DEB-43DE-A399-1C21B7CE03AC}</vt:lpwstr>
  </property>
</Properties>
</file>